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1C1E21"/>
          <w:spacing w:val="0"/>
          <w:position w:val="0"/>
          <w:sz w:val="28"/>
          <w:shd w:fill="auto" w:val="clear"/>
        </w:rPr>
      </w:pPr>
      <w:r>
        <w:rPr>
          <w:rFonts w:ascii="Times New Roman" w:hAnsi="Times New Roman" w:cs="Times New Roman" w:eastAsia="Times New Roman"/>
          <w:b/>
          <w:color w:val="1C1E21"/>
          <w:spacing w:val="0"/>
          <w:position w:val="0"/>
          <w:sz w:val="28"/>
          <w:shd w:fill="auto" w:val="clear"/>
        </w:rPr>
        <w:t xml:space="preserve">TAITRA committed to safeguard event and exhibition participants at all venues</w:t>
      </w:r>
    </w:p>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r>
        <w:rPr>
          <w:rFonts w:ascii="Times New Roman" w:hAnsi="Times New Roman" w:cs="Times New Roman" w:eastAsia="Times New Roman"/>
          <w:color w:val="1C1E21"/>
          <w:spacing w:val="0"/>
          <w:position w:val="0"/>
          <w:sz w:val="28"/>
          <w:shd w:fill="auto" w:val="clear"/>
        </w:rPr>
        <w:t xml:space="preserve">In response to the global covid-19 outbreak, Taiwan took comprehensive and effective measures to protect the health of the public. Taiwan was among the first countries to take early measures to prevent the virus from spreading. In curbing the virus early on, so far a total of 31 cases have been identified, all of which were imported or close contact cases. The risk of infection to international travelers on the island is considered low to minimal. </w:t>
      </w:r>
    </w:p>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1D2129"/>
          <w:spacing w:val="0"/>
          <w:position w:val="0"/>
          <w:sz w:val="28"/>
          <w:shd w:fill="auto" w:val="clear"/>
        </w:rPr>
      </w:pPr>
      <w:r>
        <w:rPr>
          <w:rFonts w:ascii="Times New Roman" w:hAnsi="Times New Roman" w:cs="Times New Roman" w:eastAsia="Times New Roman"/>
          <w:color w:val="1D2129"/>
          <w:spacing w:val="0"/>
          <w:position w:val="0"/>
          <w:sz w:val="28"/>
          <w:shd w:fill="auto" w:val="clear"/>
        </w:rPr>
        <w:t xml:space="preserve">TAITRA is conducting all events in full and stringent compliance with health and safety regulations. Full measures to ensure the health and safety of exhibitors and visitors are being enforced at all TAITRA venues, including Taipei World Trade Center (TWTC), Taipei Nangang Exhibition Hall 1 &amp; Hall 2 (TaiNEX 1&amp;2), and Taipei International Convention Center (TICC).</w:t>
      </w:r>
    </w:p>
    <w:p>
      <w:pPr>
        <w:spacing w:before="0" w:after="0" w:line="240"/>
        <w:ind w:right="0" w:left="0" w:firstLine="0"/>
        <w:jc w:val="left"/>
        <w:rPr>
          <w:rFonts w:ascii="Times New Roman" w:hAnsi="Times New Roman" w:cs="Times New Roman" w:eastAsia="Times New Roman"/>
          <w:color w:val="1D2129"/>
          <w:spacing w:val="0"/>
          <w:position w:val="0"/>
          <w:sz w:val="28"/>
          <w:shd w:fill="auto" w:val="clear"/>
        </w:rPr>
      </w:pPr>
    </w:p>
    <w:p>
      <w:pPr>
        <w:widowControl w:val="false"/>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b/>
          <w:color w:val="1C1E21"/>
          <w:spacing w:val="0"/>
          <w:position w:val="0"/>
          <w:sz w:val="28"/>
          <w:shd w:fill="auto" w:val="clear"/>
        </w:rPr>
        <w:t xml:space="preserve">The specific measures include:</w:t>
      </w:r>
    </w:p>
    <w:p>
      <w:pPr>
        <w:widowControl w:val="false"/>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u w:val="single"/>
          <w:shd w:fill="auto" w:val="clear"/>
        </w:rPr>
        <w:t xml:space="preserve">Visitors body temperature control</w:t>
      </w:r>
    </w:p>
    <w:p>
      <w:pPr>
        <w:widowControl w:val="false"/>
        <w:spacing w:before="0" w:after="0" w:line="240"/>
        <w:ind w:right="0" w:left="480" w:firstLine="0"/>
        <w:jc w:val="left"/>
        <w:rPr>
          <w:rFonts w:ascii="Calibri" w:hAnsi="Calibri" w:cs="Calibri" w:eastAsia="Calibri"/>
          <w:color w:val="auto"/>
          <w:spacing w:val="0"/>
          <w:position w:val="0"/>
          <w:sz w:val="24"/>
          <w:shd w:fill="auto" w:val="clear"/>
        </w:rPr>
      </w:pPr>
      <w:r>
        <w:rPr>
          <w:rFonts w:ascii="Wingdings" w:hAnsi="Wingdings" w:cs="Wingdings" w:eastAsia="Wingdings"/>
          <w:color w:val="1C1E21"/>
          <w:spacing w:val="0"/>
          <w:position w:val="0"/>
          <w:sz w:val="28"/>
          <w:shd w:fill="auto" w:val="clear"/>
        </w:rPr>
        <w:t xml:space="preserve">ü</w:t>
      </w:r>
      <w:r>
        <w:rPr>
          <w:rFonts w:ascii="Times New Roman" w:hAnsi="Times New Roman" w:cs="Times New Roman" w:eastAsia="Times New Roman"/>
          <w:color w:val="1C1E21"/>
          <w:spacing w:val="0"/>
          <w:position w:val="0"/>
          <w:sz w:val="14"/>
          <w:shd w:fill="auto" w:val="clear"/>
        </w:rPr>
        <w:t xml:space="preserve">  </w:t>
      </w:r>
      <w:r>
        <w:rPr>
          <w:rFonts w:ascii="Times New Roman" w:hAnsi="Times New Roman" w:cs="Times New Roman" w:eastAsia="Times New Roman"/>
          <w:color w:val="1C1E21"/>
          <w:spacing w:val="0"/>
          <w:position w:val="0"/>
          <w:sz w:val="28"/>
          <w:shd w:fill="auto" w:val="clear"/>
        </w:rPr>
        <w:t xml:space="preserve">All visitors (including exhibition workers to the loading docks or parking areas) entering the venues, will have their temperature checked</w:t>
      </w:r>
      <w:r>
        <w:rPr>
          <w:rFonts w:ascii="Calibri" w:hAnsi="Calibri" w:cs="Calibri" w:eastAsia="Calibri"/>
          <w:color w:val="auto"/>
          <w:spacing w:val="0"/>
          <w:position w:val="0"/>
          <w:sz w:val="24"/>
          <w:shd w:fill="auto" w:val="clear"/>
        </w:rPr>
        <w:t xml:space="preserve"> </w:t>
      </w:r>
      <w:r>
        <w:rPr>
          <w:rFonts w:ascii="Times New Roman" w:hAnsi="Times New Roman" w:cs="Times New Roman" w:eastAsia="Times New Roman"/>
          <w:color w:val="1C1E21"/>
          <w:spacing w:val="0"/>
          <w:position w:val="0"/>
          <w:sz w:val="28"/>
          <w:shd w:fill="auto" w:val="clear"/>
        </w:rPr>
        <w:t xml:space="preserve">for signs of fever, with infrared thermometer or be guided to go through fully-automatic infrared thermal imaging sensors. </w:t>
      </w:r>
    </w:p>
    <w:p>
      <w:pPr>
        <w:widowControl w:val="false"/>
        <w:spacing w:before="0" w:after="0" w:line="240"/>
        <w:ind w:right="0" w:left="480" w:firstLine="0"/>
        <w:jc w:val="left"/>
        <w:rPr>
          <w:rFonts w:ascii="Calibri" w:hAnsi="Calibri" w:cs="Calibri" w:eastAsia="Calibri"/>
          <w:color w:val="auto"/>
          <w:spacing w:val="0"/>
          <w:position w:val="0"/>
          <w:sz w:val="24"/>
          <w:shd w:fill="auto" w:val="clear"/>
        </w:rPr>
      </w:pPr>
      <w:r>
        <w:rPr>
          <w:rFonts w:ascii="Wingdings" w:hAnsi="Wingdings" w:cs="Wingdings" w:eastAsia="Wingdings"/>
          <w:color w:val="1C1E21"/>
          <w:spacing w:val="0"/>
          <w:position w:val="0"/>
          <w:sz w:val="28"/>
          <w:shd w:fill="auto" w:val="clear"/>
        </w:rPr>
        <w:t xml:space="preserve">ü</w:t>
      </w:r>
      <w:r>
        <w:rPr>
          <w:rFonts w:ascii="Times New Roman" w:hAnsi="Times New Roman" w:cs="Times New Roman" w:eastAsia="Times New Roman"/>
          <w:color w:val="1C1E21"/>
          <w:spacing w:val="0"/>
          <w:position w:val="0"/>
          <w:sz w:val="14"/>
          <w:shd w:fill="auto" w:val="clear"/>
        </w:rPr>
        <w:t xml:space="preserve">  </w:t>
      </w:r>
      <w:r>
        <w:rPr>
          <w:rFonts w:ascii="Times New Roman" w:hAnsi="Times New Roman" w:cs="Times New Roman" w:eastAsia="Times New Roman"/>
          <w:color w:val="1C1E21"/>
          <w:spacing w:val="0"/>
          <w:position w:val="0"/>
          <w:sz w:val="28"/>
          <w:shd w:fill="auto" w:val="clear"/>
        </w:rPr>
        <w:t xml:space="preserve">Those who have fevers are not allowed to enter the venues.</w:t>
      </w:r>
    </w:p>
    <w:p>
      <w:pPr>
        <w:widowControl w:val="false"/>
        <w:spacing w:before="0" w:after="0" w:line="240"/>
        <w:ind w:right="0" w:left="48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shd w:fill="auto" w:val="clear"/>
        </w:rPr>
        <w:t xml:space="preserve"> </w:t>
      </w:r>
    </w:p>
    <w:p>
      <w:pPr>
        <w:widowControl w:val="false"/>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u w:val="single"/>
          <w:shd w:fill="auto" w:val="clear"/>
        </w:rPr>
        <w:t xml:space="preserve">At the venues</w:t>
      </w:r>
    </w:p>
    <w:p>
      <w:pPr>
        <w:widowControl w:val="false"/>
        <w:spacing w:before="0" w:after="0" w:line="240"/>
        <w:ind w:right="0" w:left="480" w:firstLine="0"/>
        <w:jc w:val="left"/>
        <w:rPr>
          <w:rFonts w:ascii="Calibri" w:hAnsi="Calibri" w:cs="Calibri" w:eastAsia="Calibri"/>
          <w:color w:val="auto"/>
          <w:spacing w:val="0"/>
          <w:position w:val="0"/>
          <w:sz w:val="24"/>
          <w:shd w:fill="auto" w:val="clear"/>
        </w:rPr>
      </w:pPr>
      <w:r>
        <w:rPr>
          <w:rFonts w:ascii="Wingdings" w:hAnsi="Wingdings" w:cs="Wingdings" w:eastAsia="Wingdings"/>
          <w:color w:val="1C1E21"/>
          <w:spacing w:val="0"/>
          <w:position w:val="0"/>
          <w:sz w:val="28"/>
          <w:shd w:fill="auto" w:val="clear"/>
        </w:rPr>
        <w:t xml:space="preserve">ü</w:t>
      </w:r>
      <w:r>
        <w:rPr>
          <w:rFonts w:ascii="Times New Roman" w:hAnsi="Times New Roman" w:cs="Times New Roman" w:eastAsia="Times New Roman"/>
          <w:color w:val="1C1E21"/>
          <w:spacing w:val="0"/>
          <w:position w:val="0"/>
          <w:sz w:val="14"/>
          <w:shd w:fill="auto" w:val="clear"/>
        </w:rPr>
        <w:t xml:space="preserve">  </w:t>
      </w:r>
      <w:r>
        <w:rPr>
          <w:rFonts w:ascii="Times New Roman" w:hAnsi="Times New Roman" w:cs="Times New Roman" w:eastAsia="Times New Roman"/>
          <w:color w:val="1C1E21"/>
          <w:spacing w:val="0"/>
          <w:position w:val="0"/>
          <w:sz w:val="28"/>
          <w:shd w:fill="auto" w:val="clear"/>
        </w:rPr>
        <w:t xml:space="preserve">Alcohol-based hand sanitizers are available at every entry as well as needed areas.</w:t>
      </w:r>
    </w:p>
    <w:p>
      <w:pPr>
        <w:widowControl w:val="false"/>
        <w:spacing w:before="0" w:after="0" w:line="240"/>
        <w:ind w:right="0" w:left="480" w:firstLine="0"/>
        <w:jc w:val="left"/>
        <w:rPr>
          <w:rFonts w:ascii="Calibri" w:hAnsi="Calibri" w:cs="Calibri" w:eastAsia="Calibri"/>
          <w:color w:val="auto"/>
          <w:spacing w:val="0"/>
          <w:position w:val="0"/>
          <w:sz w:val="24"/>
          <w:shd w:fill="auto" w:val="clear"/>
        </w:rPr>
      </w:pPr>
      <w:r>
        <w:rPr>
          <w:rFonts w:ascii="Wingdings" w:hAnsi="Wingdings" w:cs="Wingdings" w:eastAsia="Wingdings"/>
          <w:color w:val="1C1E21"/>
          <w:spacing w:val="0"/>
          <w:position w:val="0"/>
          <w:sz w:val="28"/>
          <w:shd w:fill="auto" w:val="clear"/>
        </w:rPr>
        <w:t xml:space="preserve">ü</w:t>
      </w:r>
      <w:r>
        <w:rPr>
          <w:rFonts w:ascii="Times New Roman" w:hAnsi="Times New Roman" w:cs="Times New Roman" w:eastAsia="Times New Roman"/>
          <w:color w:val="1C1E21"/>
          <w:spacing w:val="0"/>
          <w:position w:val="0"/>
          <w:sz w:val="14"/>
          <w:shd w:fill="auto" w:val="clear"/>
        </w:rPr>
        <w:t xml:space="preserve">  </w:t>
      </w:r>
      <w:r>
        <w:rPr>
          <w:rFonts w:ascii="Times New Roman" w:hAnsi="Times New Roman" w:cs="Times New Roman" w:eastAsia="Times New Roman"/>
          <w:color w:val="1C1E21"/>
          <w:spacing w:val="0"/>
          <w:position w:val="0"/>
          <w:sz w:val="28"/>
          <w:shd w:fill="auto" w:val="clear"/>
        </w:rPr>
        <w:t xml:space="preserve">Elevators and escalators are sanitized daily, and floor, toilets, corridors, public areas, and air-conditioned rooms are disinfected with diluted bleach or alcohol water every week. </w:t>
      </w:r>
    </w:p>
    <w:p>
      <w:pPr>
        <w:widowControl w:val="false"/>
        <w:spacing w:before="0" w:after="0" w:line="240"/>
        <w:ind w:right="0" w:left="480" w:firstLine="0"/>
        <w:jc w:val="left"/>
        <w:rPr>
          <w:rFonts w:ascii="Calibri" w:hAnsi="Calibri" w:cs="Calibri" w:eastAsia="Calibri"/>
          <w:color w:val="auto"/>
          <w:spacing w:val="0"/>
          <w:position w:val="0"/>
          <w:sz w:val="24"/>
          <w:shd w:fill="auto" w:val="clear"/>
        </w:rPr>
      </w:pPr>
      <w:r>
        <w:rPr>
          <w:rFonts w:ascii="Wingdings" w:hAnsi="Wingdings" w:cs="Wingdings" w:eastAsia="Wingdings"/>
          <w:color w:val="1C1E21"/>
          <w:spacing w:val="0"/>
          <w:position w:val="0"/>
          <w:sz w:val="28"/>
          <w:shd w:fill="auto" w:val="clear"/>
        </w:rPr>
        <w:t xml:space="preserve">ü</w:t>
      </w:r>
      <w:r>
        <w:rPr>
          <w:rFonts w:ascii="Times New Roman" w:hAnsi="Times New Roman" w:cs="Times New Roman" w:eastAsia="Times New Roman"/>
          <w:color w:val="1C1E21"/>
          <w:spacing w:val="0"/>
          <w:position w:val="0"/>
          <w:sz w:val="14"/>
          <w:shd w:fill="auto" w:val="clear"/>
        </w:rPr>
        <w:t xml:space="preserve">  </w:t>
      </w:r>
      <w:r>
        <w:rPr>
          <w:rFonts w:ascii="Times New Roman" w:hAnsi="Times New Roman" w:cs="Times New Roman" w:eastAsia="Times New Roman"/>
          <w:color w:val="1C1E21"/>
          <w:spacing w:val="0"/>
          <w:position w:val="0"/>
          <w:sz w:val="28"/>
          <w:shd w:fill="auto" w:val="clear"/>
        </w:rPr>
        <w:t xml:space="preserve">Forced air circulation three times a day to increase indoor air ventilation and accelerate air circulation inside the venues.</w:t>
      </w:r>
    </w:p>
    <w:p>
      <w:pPr>
        <w:widowControl w:val="false"/>
        <w:spacing w:before="0" w:after="0" w:line="240"/>
        <w:ind w:right="0" w:left="480" w:firstLine="0"/>
        <w:jc w:val="left"/>
        <w:rPr>
          <w:rFonts w:ascii="Calibri" w:hAnsi="Calibri" w:cs="Calibri" w:eastAsia="Calibri"/>
          <w:color w:val="auto"/>
          <w:spacing w:val="0"/>
          <w:position w:val="0"/>
          <w:sz w:val="24"/>
          <w:shd w:fill="auto" w:val="clear"/>
        </w:rPr>
      </w:pPr>
      <w:r>
        <w:rPr>
          <w:rFonts w:ascii="Wingdings" w:hAnsi="Wingdings" w:cs="Wingdings" w:eastAsia="Wingdings"/>
          <w:color w:val="1C1E21"/>
          <w:spacing w:val="0"/>
          <w:position w:val="0"/>
          <w:sz w:val="28"/>
          <w:shd w:fill="auto" w:val="clear"/>
        </w:rPr>
        <w:t xml:space="preserve">ü</w:t>
      </w:r>
      <w:r>
        <w:rPr>
          <w:rFonts w:ascii="Times New Roman" w:hAnsi="Times New Roman" w:cs="Times New Roman" w:eastAsia="Times New Roman"/>
          <w:color w:val="1C1E21"/>
          <w:spacing w:val="0"/>
          <w:position w:val="0"/>
          <w:sz w:val="14"/>
          <w:shd w:fill="auto" w:val="clear"/>
        </w:rPr>
        <w:t xml:space="preserve">  </w:t>
      </w:r>
      <w:r>
        <w:rPr>
          <w:rFonts w:ascii="Times New Roman" w:hAnsi="Times New Roman" w:cs="Times New Roman" w:eastAsia="Times New Roman"/>
          <w:color w:val="1C1E21"/>
          <w:spacing w:val="0"/>
          <w:position w:val="0"/>
          <w:sz w:val="28"/>
          <w:shd w:fill="auto" w:val="clear"/>
        </w:rPr>
        <w:t xml:space="preserve">Epidemic prevention information or notice board is placed or broadcasted on the display panels for visitors. </w:t>
      </w:r>
    </w:p>
    <w:p>
      <w:pPr>
        <w:widowControl w:val="false"/>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shd w:fill="auto" w:val="clear"/>
        </w:rPr>
        <w:t xml:space="preserve"> </w:t>
      </w:r>
    </w:p>
    <w:p>
      <w:pPr>
        <w:widowControl w:val="false"/>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u w:val="single"/>
          <w:shd w:fill="auto" w:val="clear"/>
        </w:rPr>
        <w:t xml:space="preserve">Organizer staff</w:t>
      </w:r>
    </w:p>
    <w:p>
      <w:pPr>
        <w:widowControl w:val="false"/>
        <w:spacing w:before="0" w:after="0" w:line="240"/>
        <w:ind w:right="0" w:left="480" w:firstLine="0"/>
        <w:jc w:val="left"/>
        <w:rPr>
          <w:rFonts w:ascii="Calibri" w:hAnsi="Calibri" w:cs="Calibri" w:eastAsia="Calibri"/>
          <w:color w:val="auto"/>
          <w:spacing w:val="0"/>
          <w:position w:val="0"/>
          <w:sz w:val="24"/>
          <w:shd w:fill="auto" w:val="clear"/>
        </w:rPr>
      </w:pPr>
      <w:r>
        <w:rPr>
          <w:rFonts w:ascii="Wingdings" w:hAnsi="Wingdings" w:cs="Wingdings" w:eastAsia="Wingdings"/>
          <w:color w:val="1C1E21"/>
          <w:spacing w:val="0"/>
          <w:position w:val="0"/>
          <w:sz w:val="28"/>
          <w:shd w:fill="auto" w:val="clear"/>
        </w:rPr>
        <w:t xml:space="preserve">ü</w:t>
      </w:r>
      <w:r>
        <w:rPr>
          <w:rFonts w:ascii="Times New Roman" w:hAnsi="Times New Roman" w:cs="Times New Roman" w:eastAsia="Times New Roman"/>
          <w:color w:val="1C1E21"/>
          <w:spacing w:val="0"/>
          <w:position w:val="0"/>
          <w:sz w:val="14"/>
          <w:shd w:fill="auto" w:val="clear"/>
        </w:rPr>
        <w:t xml:space="preserve">  </w:t>
      </w:r>
      <w:r>
        <w:rPr>
          <w:rFonts w:ascii="Times New Roman" w:hAnsi="Times New Roman" w:cs="Times New Roman" w:eastAsia="Times New Roman"/>
          <w:color w:val="1C1E21"/>
          <w:spacing w:val="0"/>
          <w:position w:val="0"/>
          <w:sz w:val="28"/>
          <w:shd w:fill="auto" w:val="clear"/>
        </w:rPr>
        <w:t xml:space="preserve">All staff encountering visitors must implement self -health management and have their temperature taken every day, and wear facemasks while working. </w:t>
      </w:r>
    </w:p>
    <w:p>
      <w:pPr>
        <w:widowControl w:val="false"/>
        <w:spacing w:before="0" w:after="0" w:line="240"/>
        <w:ind w:right="0" w:left="480" w:firstLine="0"/>
        <w:jc w:val="left"/>
        <w:rPr>
          <w:rFonts w:ascii="Calibri" w:hAnsi="Calibri" w:cs="Calibri" w:eastAsia="Calibri"/>
          <w:color w:val="auto"/>
          <w:spacing w:val="0"/>
          <w:position w:val="0"/>
          <w:sz w:val="24"/>
          <w:shd w:fill="auto" w:val="clear"/>
        </w:rPr>
      </w:pPr>
      <w:r>
        <w:rPr>
          <w:rFonts w:ascii="Wingdings" w:hAnsi="Wingdings" w:cs="Wingdings" w:eastAsia="Wingdings"/>
          <w:color w:val="1C1E21"/>
          <w:spacing w:val="0"/>
          <w:position w:val="0"/>
          <w:sz w:val="28"/>
          <w:shd w:fill="auto" w:val="clear"/>
        </w:rPr>
        <w:t xml:space="preserve">ü</w:t>
      </w:r>
      <w:r>
        <w:rPr>
          <w:rFonts w:ascii="Times New Roman" w:hAnsi="Times New Roman" w:cs="Times New Roman" w:eastAsia="Times New Roman"/>
          <w:color w:val="1C1E21"/>
          <w:spacing w:val="0"/>
          <w:position w:val="0"/>
          <w:sz w:val="14"/>
          <w:shd w:fill="auto" w:val="clear"/>
        </w:rPr>
        <w:t xml:space="preserve">  </w:t>
      </w:r>
      <w:r>
        <w:rPr>
          <w:rFonts w:ascii="Times New Roman" w:hAnsi="Times New Roman" w:cs="Times New Roman" w:eastAsia="Times New Roman"/>
          <w:color w:val="1C1E21"/>
          <w:spacing w:val="0"/>
          <w:position w:val="0"/>
          <w:sz w:val="28"/>
          <w:shd w:fill="auto" w:val="clear"/>
        </w:rPr>
        <w:t xml:space="preserve">During large events, extra staff are sent for checkpoints at the entrances, exits, and needed areas for anti-epidemic prevention services. </w:t>
      </w:r>
    </w:p>
    <w:p>
      <w:pPr>
        <w:widowControl w:val="false"/>
        <w:spacing w:before="0" w:after="0" w:line="240"/>
        <w:ind w:right="0" w:left="48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shd w:fill="auto" w:val="clear"/>
        </w:rPr>
        <w:t xml:space="preserve"> </w:t>
      </w:r>
    </w:p>
    <w:p>
      <w:pPr>
        <w:widowControl w:val="false"/>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u w:val="single"/>
          <w:shd w:fill="auto" w:val="clear"/>
        </w:rPr>
        <w:t xml:space="preserve">Participant and visitor health</w:t>
      </w:r>
    </w:p>
    <w:p>
      <w:pPr>
        <w:widowControl w:val="false"/>
        <w:spacing w:before="0" w:after="0" w:line="240"/>
        <w:ind w:right="0" w:left="480" w:firstLine="0"/>
        <w:jc w:val="left"/>
        <w:rPr>
          <w:rFonts w:ascii="Calibri" w:hAnsi="Calibri" w:cs="Calibri" w:eastAsia="Calibri"/>
          <w:color w:val="auto"/>
          <w:spacing w:val="0"/>
          <w:position w:val="0"/>
          <w:sz w:val="24"/>
          <w:shd w:fill="auto" w:val="clear"/>
        </w:rPr>
      </w:pPr>
      <w:r>
        <w:rPr>
          <w:rFonts w:ascii="Wingdings" w:hAnsi="Wingdings" w:cs="Wingdings" w:eastAsia="Wingdings"/>
          <w:color w:val="1C1E21"/>
          <w:spacing w:val="0"/>
          <w:position w:val="0"/>
          <w:sz w:val="28"/>
          <w:shd w:fill="auto" w:val="clear"/>
        </w:rPr>
        <w:t xml:space="preserve">ü</w:t>
      </w:r>
      <w:r>
        <w:rPr>
          <w:rFonts w:ascii="Times New Roman" w:hAnsi="Times New Roman" w:cs="Times New Roman" w:eastAsia="Times New Roman"/>
          <w:color w:val="1C1E21"/>
          <w:spacing w:val="0"/>
          <w:position w:val="0"/>
          <w:sz w:val="14"/>
          <w:shd w:fill="auto" w:val="clear"/>
        </w:rPr>
        <w:t xml:space="preserve">  </w:t>
      </w:r>
      <w:r>
        <w:rPr>
          <w:rFonts w:ascii="Times New Roman" w:hAnsi="Times New Roman" w:cs="Times New Roman" w:eastAsia="Times New Roman"/>
          <w:color w:val="1C1E21"/>
          <w:spacing w:val="0"/>
          <w:position w:val="0"/>
          <w:sz w:val="28"/>
          <w:shd w:fill="auto" w:val="clear"/>
        </w:rPr>
        <w:t xml:space="preserve">When attending events, all are advised to wear masks and wash their hands or disinfect their hands frequently with hand sanitizer. If a visitor’s temperature is higher than 37.5 degrees Celsius, they can receive on-site assistance immediately.</w:t>
      </w:r>
    </w:p>
    <w:p>
      <w:pPr>
        <w:widowControl w:val="false"/>
        <w:spacing w:before="0" w:after="0" w:line="240"/>
        <w:ind w:right="0" w:left="480" w:firstLine="0"/>
        <w:jc w:val="left"/>
        <w:rPr>
          <w:rFonts w:ascii="Calibri" w:hAnsi="Calibri" w:cs="Calibri" w:eastAsia="Calibri"/>
          <w:color w:val="auto"/>
          <w:spacing w:val="0"/>
          <w:position w:val="0"/>
          <w:sz w:val="24"/>
          <w:shd w:fill="auto" w:val="clear"/>
        </w:rPr>
      </w:pPr>
      <w:r>
        <w:rPr>
          <w:rFonts w:ascii="Wingdings" w:hAnsi="Wingdings" w:cs="Wingdings" w:eastAsia="Wingdings"/>
          <w:color w:val="1C1E21"/>
          <w:spacing w:val="0"/>
          <w:position w:val="0"/>
          <w:sz w:val="28"/>
          <w:shd w:fill="auto" w:val="clear"/>
        </w:rPr>
        <w:t xml:space="preserve">ü</w:t>
      </w:r>
      <w:r>
        <w:rPr>
          <w:rFonts w:ascii="Times New Roman" w:hAnsi="Times New Roman" w:cs="Times New Roman" w:eastAsia="Times New Roman"/>
          <w:color w:val="1C1E21"/>
          <w:spacing w:val="0"/>
          <w:position w:val="0"/>
          <w:sz w:val="14"/>
          <w:shd w:fill="auto" w:val="clear"/>
        </w:rPr>
        <w:t xml:space="preserve">  </w:t>
      </w:r>
      <w:r>
        <w:rPr>
          <w:rFonts w:ascii="Times New Roman" w:hAnsi="Times New Roman" w:cs="Times New Roman" w:eastAsia="Times New Roman"/>
          <w:color w:val="1C1E21"/>
          <w:spacing w:val="0"/>
          <w:position w:val="0"/>
          <w:sz w:val="28"/>
          <w:shd w:fill="auto" w:val="clear"/>
        </w:rPr>
        <w:t xml:space="preserve">At large tradeshows, medical staff are stationed nearby.</w:t>
      </w:r>
    </w:p>
    <w:p>
      <w:pPr>
        <w:widowControl w:val="false"/>
        <w:spacing w:before="0" w:after="0" w:line="240"/>
        <w:ind w:right="0" w:left="480" w:firstLine="0"/>
        <w:jc w:val="left"/>
        <w:rPr>
          <w:rFonts w:ascii="Calibri" w:hAnsi="Calibri" w:cs="Calibri" w:eastAsia="Calibri"/>
          <w:color w:val="auto"/>
          <w:spacing w:val="0"/>
          <w:position w:val="0"/>
          <w:sz w:val="24"/>
          <w:shd w:fill="auto" w:val="clear"/>
        </w:rPr>
      </w:pPr>
      <w:r>
        <w:rPr>
          <w:rFonts w:ascii="Wingdings" w:hAnsi="Wingdings" w:cs="Wingdings" w:eastAsia="Wingdings"/>
          <w:color w:val="1C1E21"/>
          <w:spacing w:val="0"/>
          <w:position w:val="0"/>
          <w:sz w:val="28"/>
          <w:shd w:fill="auto" w:val="clear"/>
        </w:rPr>
        <w:t xml:space="preserve">ü</w:t>
      </w:r>
      <w:r>
        <w:rPr>
          <w:rFonts w:ascii="Times New Roman" w:hAnsi="Times New Roman" w:cs="Times New Roman" w:eastAsia="Times New Roman"/>
          <w:color w:val="1C1E21"/>
          <w:spacing w:val="0"/>
          <w:position w:val="0"/>
          <w:sz w:val="14"/>
          <w:shd w:fill="auto" w:val="clear"/>
        </w:rPr>
        <w:t xml:space="preserve">  </w:t>
      </w:r>
      <w:r>
        <w:rPr>
          <w:rFonts w:ascii="Times New Roman" w:hAnsi="Times New Roman" w:cs="Times New Roman" w:eastAsia="Times New Roman"/>
          <w:color w:val="1C1E21"/>
          <w:spacing w:val="0"/>
          <w:position w:val="0"/>
          <w:sz w:val="28"/>
          <w:shd w:fill="auto" w:val="clear"/>
        </w:rPr>
        <w:t xml:space="preserve">Anyone displaying symptoms of the novel coronavirus – or any other disease or illness – can expect the highest standards of medical assistance from Taiwan’s world leading healthcare and medical system.</w:t>
      </w:r>
    </w:p>
    <w:p>
      <w:pPr>
        <w:widowControl w:val="false"/>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shd w:fill="auto" w:val="clear"/>
        </w:rPr>
        <w:t xml:space="preserve"> </w:t>
      </w:r>
    </w:p>
    <w:p>
      <w:pPr>
        <w:widowControl w:val="false"/>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shd w:fill="auto" w:val="clear"/>
        </w:rPr>
        <w:t xml:space="preserve">TAITRA is actively implementing all necessary measures to ensure the health and safety of visitors and exhibitors. International visitors can rest assured when visiting Taiwan for events. TAITRA’s overseas offices are ready to assist with all related inquiries. </w:t>
      </w:r>
    </w:p>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tbl>
      <w:tblPr/>
      <w:tblGrid>
        <w:gridCol w:w="5078"/>
        <w:gridCol w:w="5378"/>
      </w:tblGrid>
      <w:tr>
        <w:trPr>
          <w:trHeight w:val="360" w:hRule="auto"/>
          <w:jc w:val="left"/>
        </w:trPr>
        <w:tc>
          <w:tcPr>
            <w:tcW w:w="1045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Infrared thermometer monitor at every gate</w:t>
            </w:r>
          </w:p>
        </w:tc>
      </w:tr>
      <w:tr>
        <w:trPr>
          <w:trHeight w:val="4028" w:hRule="auto"/>
          <w:jc w:val="left"/>
        </w:trPr>
        <w:tc>
          <w:tcPr>
            <w:tcW w:w="5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6307" w:dyaOrig="4881">
                <v:rect xmlns:o="urn:schemas-microsoft-com:office:office" xmlns:v="urn:schemas-microsoft-com:vml" id="rectole0000000000" style="width:315.350000pt;height:244.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tc>
        <w:tc>
          <w:tcPr>
            <w:tcW w:w="53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6681" w:dyaOrig="4982">
                <v:rect xmlns:o="urn:schemas-microsoft-com:office:office" xmlns:v="urn:schemas-microsoft-com:vml" id="rectole0000000001" style="width:334.050000pt;height:249.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r>
    </w:tbl>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tbl>
      <w:tblPr/>
      <w:tblGrid>
        <w:gridCol w:w="5127"/>
        <w:gridCol w:w="5329"/>
      </w:tblGrid>
      <w:tr>
        <w:trPr>
          <w:trHeight w:val="1" w:hRule="atLeast"/>
          <w:jc w:val="left"/>
        </w:trPr>
        <w:tc>
          <w:tcPr>
            <w:tcW w:w="1045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Cleaning &amp; disinfecting regularly</w:t>
            </w:r>
          </w:p>
        </w:tc>
      </w:tr>
      <w:tr>
        <w:trPr>
          <w:trHeight w:val="4573" w:hRule="auto"/>
          <w:jc w:val="left"/>
        </w:trPr>
        <w:tc>
          <w:tcPr>
            <w:tcW w:w="51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6120" w:dyaOrig="5011">
                <v:rect xmlns:o="urn:schemas-microsoft-com:office:office" xmlns:v="urn:schemas-microsoft-com:vml" id="rectole0000000002" style="width:306.000000pt;height:250.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tc>
        <w:tc>
          <w:tcPr>
            <w:tcW w:w="53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6364" w:dyaOrig="4896">
                <v:rect xmlns:o="urn:schemas-microsoft-com:office:office" xmlns:v="urn:schemas-microsoft-com:vml" id="rectole0000000003" style="width:318.200000pt;height:244.8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tc>
      </w:tr>
    </w:tbl>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tbl>
      <w:tblPr/>
      <w:tblGrid>
        <w:gridCol w:w="5262"/>
        <w:gridCol w:w="5194"/>
      </w:tblGrid>
      <w:tr>
        <w:trPr>
          <w:trHeight w:val="1" w:hRule="atLeast"/>
          <w:jc w:val="left"/>
        </w:trPr>
        <w:tc>
          <w:tcPr>
            <w:tcW w:w="1045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Hand sanitizers and prevention signs </w:t>
            </w:r>
          </w:p>
        </w:tc>
      </w:tr>
      <w:tr>
        <w:trPr>
          <w:trHeight w:val="4558" w:hRule="auto"/>
          <w:jc w:val="left"/>
        </w:trPr>
        <w:tc>
          <w:tcPr>
            <w:tcW w:w="52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6350" w:dyaOrig="5068">
                <v:rect xmlns:o="urn:schemas-microsoft-com:office:office" xmlns:v="urn:schemas-microsoft-com:vml" id="rectole0000000004" style="width:317.500000pt;height:253.4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tc>
        <w:tc>
          <w:tcPr>
            <w:tcW w:w="51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6264" w:dyaOrig="5083">
                <v:rect xmlns:o="urn:schemas-microsoft-com:office:office" xmlns:v="urn:schemas-microsoft-com:vml" id="rectole0000000005" style="width:313.200000pt;height:254.1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tc>
      </w:tr>
    </w:tbl>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tbl>
      <w:tblPr/>
      <w:tblGrid>
        <w:gridCol w:w="5286"/>
        <w:gridCol w:w="5170"/>
      </w:tblGrid>
      <w:tr>
        <w:trPr>
          <w:trHeight w:val="1" w:hRule="atLeast"/>
          <w:jc w:val="left"/>
        </w:trPr>
        <w:tc>
          <w:tcPr>
            <w:tcW w:w="10456"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Staff at epidemic prevention checkpoints</w:t>
            </w:r>
          </w:p>
        </w:tc>
      </w:tr>
      <w:tr>
        <w:trPr>
          <w:trHeight w:val="4874" w:hRule="auto"/>
          <w:jc w:val="left"/>
        </w:trPr>
        <w:tc>
          <w:tcPr>
            <w:tcW w:w="52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6248" w:dyaOrig="5457">
                <v:rect xmlns:o="urn:schemas-microsoft-com:office:office" xmlns:v="urn:schemas-microsoft-com:vml" id="rectole0000000006" style="width:312.400000pt;height:272.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tc>
        <w:tc>
          <w:tcPr>
            <w:tcW w:w="51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6105" w:dyaOrig="5328">
                <v:rect xmlns:o="urn:schemas-microsoft-com:office:office" xmlns:v="urn:schemas-microsoft-com:vml" id="rectole0000000007" style="width:305.250000pt;height:266.4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tc>
      </w:tr>
    </w:tbl>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shd w:fill="auto" w:val="clear"/>
        </w:rPr>
        <w:t xml:space="preserve">*** For the latest regulations for international visitors, please reach out to TAITRA overseas offices or see the following website:</w:t>
      </w:r>
    </w:p>
    <w:p>
      <w:pPr>
        <w:spacing w:before="0" w:after="0" w:line="240"/>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16">
        <w:r>
          <w:rPr>
            <w:rFonts w:ascii="Times New Roman" w:hAnsi="Times New Roman" w:cs="Times New Roman" w:eastAsia="Times New Roman"/>
            <w:color w:val="0000FF"/>
            <w:spacing w:val="0"/>
            <w:position w:val="0"/>
            <w:sz w:val="28"/>
            <w:u w:val="single"/>
            <w:shd w:fill="auto" w:val="clear"/>
          </w:rPr>
          <w:t xml:space="preserve">https://www.boca.gov.tw/cp-220-5081-c06dc-2.html</w:t>
        </w:r>
      </w:hyperlink>
    </w:p>
    <w:p>
      <w:pPr>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shd w:fill="auto" w:val="clear"/>
        </w:rPr>
        <w:t xml:space="preserve">For info on TAITRA overseas offices: </w:t>
      </w:r>
      <w:hyperlink xmlns:r="http://schemas.openxmlformats.org/officeDocument/2006/relationships" r:id="docRId17">
        <w:r>
          <w:rPr>
            <w:rFonts w:ascii="Times New Roman" w:hAnsi="Times New Roman" w:cs="Times New Roman" w:eastAsia="Times New Roman"/>
            <w:color w:val="0000FF"/>
            <w:spacing w:val="0"/>
            <w:position w:val="0"/>
            <w:sz w:val="28"/>
            <w:u w:val="single"/>
            <w:shd w:fill="auto" w:val="clear"/>
          </w:rPr>
          <w:t xml:space="preserve">https://officeportal.taiwantrade.com/flash/big/unitList.jsp?lang=en_US</w:t>
        </w:r>
      </w:hyperlink>
    </w:p>
    <w:p>
      <w:pPr>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1C1E21"/>
          <w:spacing w:val="0"/>
          <w:position w:val="0"/>
          <w:sz w:val="28"/>
          <w:shd w:fill="auto" w:val="clear"/>
        </w:rPr>
        <w:t xml:space="preserve">***As of today, Tuesday Feb 25, the COVID-19 outbreak has resulted in a total of 80,139 confirmed cases reported worldwide. As of writing, a total of 31 confirmed cases were reported in Taiwan, with 1 case deceased, 5 cases fully recovered, and the remaining in a stable condition and on the way to recovery.</w:t>
      </w:r>
    </w:p>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r>
        <w:rPr>
          <w:rFonts w:ascii="Times New Roman" w:hAnsi="Times New Roman" w:cs="Times New Roman" w:eastAsia="Times New Roman"/>
          <w:color w:val="1C1E21"/>
          <w:spacing w:val="0"/>
          <w:position w:val="0"/>
          <w:sz w:val="28"/>
          <w:shd w:fill="auto" w:val="clear"/>
        </w:rPr>
        <w:t xml:space="preserve">***The latest reports as shown in the following table</w:t>
      </w:r>
    </w:p>
    <w:tbl>
      <w:tblPr>
        <w:tblInd w:w="137" w:type="dxa"/>
      </w:tblPr>
      <w:tblGrid>
        <w:gridCol w:w="5245"/>
        <w:gridCol w:w="4678"/>
      </w:tblGrid>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Nations</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Confirmed cases</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r>
              <w:rPr>
                <w:rFonts w:ascii="Times New Roman" w:hAnsi="Times New Roman" w:cs="Times New Roman" w:eastAsia="Times New Roman"/>
                <w:color w:val="1C1E21"/>
                <w:spacing w:val="0"/>
                <w:position w:val="0"/>
                <w:sz w:val="28"/>
                <w:shd w:fill="auto" w:val="clear"/>
              </w:rPr>
              <w:t xml:space="preserve">China, including Hong Kong (81) </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and Macau (10)</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77,749</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Republic of Korea</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893</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2 cruise ships in international conveyance </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702</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Italy</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229</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Japan</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155</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Singapore</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90</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Iran</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61</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United States of America</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53</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Thailand</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35</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Taiwan </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31</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Malaysia </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22</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Germany </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16</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Vietnam </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16</w:t>
            </w:r>
          </w:p>
        </w:tc>
      </w:tr>
      <w:tr>
        <w:trPr>
          <w:trHeight w:val="1" w:hRule="atLeast"/>
          <w:jc w:val="left"/>
        </w:trPr>
        <w:tc>
          <w:tcPr>
            <w:tcW w:w="52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France </w:t>
            </w:r>
          </w:p>
        </w:tc>
        <w:tc>
          <w:tcPr>
            <w:tcW w:w="46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1C1E21"/>
                <w:spacing w:val="0"/>
                <w:position w:val="0"/>
                <w:sz w:val="28"/>
                <w:shd w:fill="auto" w:val="clear"/>
              </w:rPr>
              <w:t xml:space="preserve">12</w:t>
            </w:r>
          </w:p>
        </w:tc>
      </w:tr>
    </w:tbl>
    <w:p>
      <w:pPr>
        <w:spacing w:before="0" w:after="0" w:line="240"/>
        <w:ind w:right="0" w:left="0" w:firstLine="0"/>
        <w:jc w:val="left"/>
        <w:rPr>
          <w:rFonts w:ascii="Times New Roman" w:hAnsi="Times New Roman" w:cs="Times New Roman" w:eastAsia="Times New Roman"/>
          <w:color w:val="1C1E21"/>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s://officeportal.taiwantrade.com/flash/big/unitList.jsp?lang=en_US" Id="docRId17" Type="http://schemas.openxmlformats.org/officeDocument/2006/relationships/hyperlink"/><Relationship Target="media/image3.wmf" Id="docRId7" Type="http://schemas.openxmlformats.org/officeDocument/2006/relationships/image"/><Relationship Target="embeddings/oleObject5.bin" Id="docRId10" Type="http://schemas.openxmlformats.org/officeDocument/2006/relationships/oleObject"/><Relationship Target="embeddings/oleObject7.bin" Id="docRId14" Type="http://schemas.openxmlformats.org/officeDocument/2006/relationships/oleObject"/><Relationship Target="numbering.xml" Id="docRId18"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styles.xml" Id="docRId19"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Mode="External" Target="https://www.boca.gov.tw/cp-220-5081-c06dc-2.html" Id="docRId16" Type="http://schemas.openxmlformats.org/officeDocument/2006/relationships/hyperlink"/><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media/image1.wmf" Id="docRId3" Type="http://schemas.openxmlformats.org/officeDocument/2006/relationships/image"/></Relationships>
</file>